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7.png" ContentType="image/png"/>
  <Override PartName="/word/media/rId42.png" ContentType="image/png"/>
  <Override PartName="/word/media/rId43.png" ContentType="image/png"/>
  <Override PartName="/word/media/rId47.png" ContentType="image/png"/>
  <Override PartName="/word/media/rId28.png" ContentType="image/png"/>
  <Override PartName="/word/media/rId37.png" ContentType="image/png"/>
  <Override PartName="/word/media/rId61.png" ContentType="image/png"/>
  <Override PartName="/word/media/rId60.png" ContentType="image/png"/>
  <Override PartName="/word/media/rId33.png" ContentType="image/png"/>
  <Override PartName="/word/media/rId65.png" ContentType="image/png"/>
  <Override PartName="/word/media/rId31.png" ContentType="image/png"/>
  <Override PartName="/word/media/rId54.png" ContentType="image/png"/>
  <Override PartName="/word/media/rId56.png" ContentType="image/png"/>
  <Override PartName="/word/media/rId35.png" ContentType="image/png"/>
  <Override PartName="/word/media/rId40.png" ContentType="image/png"/>
  <Override PartName="/word/media/rId63.png" ContentType="image/png"/>
  <Override PartName="/word/media/rId64.png" ContentType="image/png"/>
  <Override PartName="/word/media/rId38.png" ContentType="image/png"/>
  <Override PartName="/word/media/rId51.png" ContentType="image/png"/>
  <Override PartName="/word/media/rId49.png" ContentType="image/png"/>
  <Override PartName="/word/media/rId58.png" ContentType="image/png"/>
  <Override PartName="/word/media/rId45.png" ContentType="image/png"/>
  <Override PartName="/word/media/rId26.png" ContentType="image/png"/>
  <Override PartName="/word/media/image1" ContentType="application/octet-stream"/>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p>
    <w:p>
      <w:pPr>
        <w:pStyle w:val="Heading1"/>
      </w:pPr>
      <w:bookmarkStart w:id="21" w:name="résumé"/>
      <w:bookmarkEnd w:id="21"/>
      <w:r>
        <w:t xml:space="preserve">Résumé</w:t>
      </w:r>
    </w:p>
    <w:p>
      <w:pPr>
        <w:pStyle w:val="FirstParagraph"/>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complexe réseau d’interaction et de signalisation métabolique comme dans beaucoup d'autres processus biologiques mais aussi un fin contrôle spatio-temporel du mouvement et du positionnement des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par ailleurs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Heading1"/>
      </w:pPr>
      <w:bookmarkStart w:id="22" w:name="summary"/>
      <w:bookmarkEnd w:id="22"/>
      <w:r>
        <w:t xml:space="preserve">Summary</w:t>
      </w:r>
    </w:p>
    <w:p>
      <w:pPr>
        <w:pStyle w:val="FirstParagraph"/>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Heading1"/>
      </w:pPr>
      <w:bookmarkStart w:id="23" w:name="remerciements"/>
      <w:bookmarkEnd w:id="23"/>
      <w:r>
        <w:t xml:space="preserve">Remerciements</w:t>
      </w:r>
    </w:p>
    <w:p>
      <w:pPr>
        <w:pStyle w:val="FirstParagraph"/>
      </w:pPr>
      <w:r>
        <w:t xml:space="preserve">...</w:t>
      </w:r>
    </w:p>
    <w:p>
      <w:pPr>
        <w:pStyle w:val="BodyText"/>
      </w:pPr>
    </w:p>
    <w:p>
      <w:pPr>
        <w:pStyle w:val="BodyText"/>
      </w:pPr>
      <w:r>
        <w:t xml:space="preserve"> </w:t>
      </w:r>
    </w:p>
    <w:p>
      <w:pPr>
        <w:pStyle w:val="BodyText"/>
      </w:pPr>
      <w:r>
        <w:t xml:space="preserve">Source code used to generate this thesis is freely available at</w:t>
      </w:r>
      <w:r>
        <w:t xml:space="preserve"> </w:t>
      </w:r>
      <w:hyperlink r:id="rId24">
        <w:r>
          <w:rPr>
            <w:rStyle w:val="Hyperlink"/>
          </w:rPr>
          <w:t xml:space="preserve">https://github.com/hadim/thesis</w:t>
        </w:r>
      </w:hyperlink>
      <w:r>
        <w:t xml:space="preserve"> </w:t>
      </w:r>
      <w:r>
        <w:t xml:space="preserve">(free as in freedom not as in a beer !).</w:t>
      </w:r>
    </w:p>
    <w:p>
      <w:pPr>
        <w:pStyle w:val="BodyText"/>
      </w:pPr>
      <w:r>
        <w:t xml:space="preserve"> </w:t>
      </w:r>
    </w:p>
    <w:p>
      <w:pPr>
        <w:pStyle w:val="BodyText"/>
      </w:pPr>
    </w:p>
    <w:p>
      <w:pPr>
        <w:pStyle w:val="Heading1"/>
      </w:pPr>
      <w:bookmarkStart w:id="25" w:name="introduction"/>
      <w:bookmarkEnd w:id="25"/>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 2003)</w:t>
      </w:r>
      <w:r>
        <w:t xml:space="preserve">. Sans vraiment réaliser la portée de son observation, il venait de décrouvrir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w:t>
      </w:r>
      <w:r>
        <w:t xml:space="preserve"> </w:t>
      </w:r>
      <w:r>
        <w:t xml:space="preserve">) en démontrant qu'une cellule provient nécessairement d'une autre cellule</w:t>
      </w:r>
      <w:r>
        <w:t xml:space="preserve"> </w:t>
      </w:r>
      <w:r>
        <w:t xml:space="preserve">(Virchow, 1860)</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6"/>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Illustration du livre « Cell theory » de Rudolf Virchow</w:t>
      </w:r>
      <w:r>
        <w:t xml:space="preserve"> </w:t>
      </w:r>
      <w:r>
        <w:t xml:space="preserve">(Virchow, 1860)</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 1953)</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Mieux comprendre le fonctionnement du vivant par la compréhension de ce mécanisme primordial sans lequel la vie ne serait jamais apparu sur Terre. Ainsi que son rôle fondamental dans la compréhension du cancer; qui n'est autre qu'un ensemble de maladie impliquant un dérèglement de la division cellulaire.</w:t>
      </w:r>
    </w:p>
    <w:p>
      <w:pPr>
        <w:pStyle w:val="BodyText"/>
      </w:pPr>
      <w:r>
        <w:t xml:space="preserve">Mais avant de comprendre comment une cellule se divise, replaçons ce processus de division dans un contexte plus large qui consiste à comprendre de quoi est composé la vie d'une cellule.</w:t>
      </w:r>
    </w:p>
    <w:p>
      <w:pPr>
        <w:pStyle w:val="Heading2"/>
      </w:pPr>
      <w:bookmarkStart w:id="27" w:name="la-vie-dune-cellule"/>
      <w:bookmarkEnd w:id="27"/>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w:t>
      </w:r>
      <w:r>
        <w:t xml:space="preserve"> </w:t>
      </w:r>
      <w:r>
        <w:t xml:space="preserve">). Celle-ci est composée de plusieurs sous-étapes</w:t>
      </w:r>
      <w:r>
        <w:t xml:space="preserve"> </w:t>
      </w:r>
      <w:r>
        <w:t xml:space="preserve">(Norbury and Nurse, 1992)</w:t>
      </w:r>
      <w:r>
        <w:t xml:space="preserve">:</w:t>
      </w:r>
    </w:p>
    <w:p>
      <w:pPr>
        <w:numPr>
          <w:numId w:val="1001"/>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1"/>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 doit être dupliqués avec une grande précision afin que les deux cellules filles se voient transmettre la même information génétique.</w:t>
      </w:r>
    </w:p>
    <w:p>
      <w:pPr>
        <w:numPr>
          <w:numId w:val="1001"/>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1"/>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8"/>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Les différentes étapes du cycle cellulaire</w:t>
      </w:r>
      <w:r>
        <w:t xml:space="preserve"> </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 2000; Norbury and Nurse, 1992)</w:t>
      </w:r>
      <w:r>
        <w:t xml:space="preserve">.</w:t>
      </w:r>
    </w:p>
    <w:p>
      <w:pPr>
        <w:pStyle w:val="BodyText"/>
      </w:pPr>
      <w:r>
        <w:t xml:space="preserve">D'une manière plus générale on peut aussi souligner que l'un des enjeux de la biologie cellulaire aujourd'hui est de comprendre quelle part des mécanismes étudiés est conservée entre différents type cellulaire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9" w:name="la-mitose-une-étape-du-cycle-cellulaire"/>
      <w:bookmarkEnd w:id="29"/>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 1980; Nurse and Thuriaux, 1980)</w:t>
      </w:r>
      <w:r>
        <w:t xml:space="preserve">. Cette protéine, conservée de la levure à l'Homme, s'associe avec une protéine régulatrice, la Cycline B. Le complexe s'active alors de manière transitoire pour former le fuseau mitotique.</w:t>
      </w:r>
    </w:p>
    <w:p>
      <w:pPr>
        <w:pStyle w:val="Heading3"/>
      </w:pPr>
      <w:bookmarkStart w:id="30" w:name="les-phases-de-la-mitose"/>
      <w:bookmarkEnd w:id="30"/>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 possédant un nombre défectueux de chromosomes (cellule aneuploïde). Par ailleurs on sait aussi que les cellules aneuploïdes peuvent contribuer à la formation de tumeur cancéreuse</w:t>
      </w:r>
      <w:r>
        <w:t xml:space="preserve"> </w:t>
      </w:r>
      <w:r>
        <w:t xml:space="preserve">(Kops et al., 2005)</w:t>
      </w:r>
      <w:r>
        <w:t xml:space="preserve">.</w:t>
      </w:r>
    </w:p>
    <w:p>
      <w:pPr>
        <w:pStyle w:val="BodyText"/>
      </w:pPr>
      <w:r>
        <w:t xml:space="preserve">Les différentes phases de la mitose sont (Figure</w:t>
      </w:r>
      <w:r>
        <w:t xml:space="preserve"> </w:t>
      </w:r>
      <w:r>
        <w:t xml:space="preserve">) :</w:t>
      </w:r>
    </w:p>
    <w:p>
      <w:pPr>
        <w:pStyle w:val="Compact"/>
        <w:numPr>
          <w:numId w:val="1002"/>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3"/>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 2013)</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3"/>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 2007)</w:t>
      </w:r>
      <w:r>
        <w:t xml:space="preserve">. L'anaphase commence au moment où le complexe Cdc2-Cyclin B s'inactive par l'activation de l'APC (Anaphase Promoting Complex). L'APC est une ubiquitin ligase capable de dégrader la Cyclin B</w:t>
      </w:r>
      <w:r>
        <w:t xml:space="preserve"> </w:t>
      </w:r>
      <w:r>
        <w:t xml:space="preserve">(Sivakumar and Gorbsky, 2015)</w:t>
      </w:r>
      <w:r>
        <w:t xml:space="preserve">.</w:t>
      </w:r>
    </w:p>
    <w:p>
      <w:pPr>
        <w:numPr>
          <w:numId w:val="1004"/>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 2010)</w:t>
      </w:r>
      <w:r>
        <w:t xml:space="preserve">. Ensuite chaque chromatide est « tiré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4"/>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4"/>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31"/>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Les différentes étapes de la mitose (adapté de</w:t>
      </w:r>
      <w:r>
        <w:t xml:space="preserve"> </w:t>
      </w:r>
      <w:r>
        <w:t xml:space="preserve">Cheeseman and Desai (2008)</w:t>
      </w:r>
      <w:r>
        <w:t xml:space="preserve">)</w:t>
      </w:r>
      <w:r>
        <w:t xml:space="preserve"> </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2" w:name="le-kinétochore"/>
      <w:bookmarkEnd w:id="32"/>
      <w:r>
        <w:t xml:space="preserve">Le kinétochore</w:t>
      </w:r>
    </w:p>
    <w:p>
      <w:pPr>
        <w:pStyle w:val="FirstParagraph"/>
      </w:pPr>
      <w:r>
        <w:t xml:space="preserve">Le kinétochore est un assemblage de protéines de très grande taille, possédant plusieurs dizaine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w:t>
      </w:r>
      <w:r>
        <w:t xml:space="preserve"> </w:t>
      </w:r>
      <w:r>
        <w:t xml:space="preserve">) :</w:t>
      </w:r>
    </w:p>
    <w:p>
      <w:pPr>
        <w:numPr>
          <w:numId w:val="1005"/>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5"/>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3"/>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Vu d'un kinétochore humain de côté par microscopie électronique (</w:t>
      </w:r>
      <w:r>
        <w:t xml:space="preserve">McEwen et al. (2007)</w:t>
      </w:r>
      <w:r>
        <w:t xml:space="preserve">).</w:t>
      </w:r>
      <w:r>
        <w:t xml:space="preserve"> </w:t>
      </w:r>
      <w:r>
        <w:rPr>
          <w:b/>
        </w:rPr>
        <w:t xml:space="preserve">B.</w:t>
      </w:r>
      <w:r>
        <w:t xml:space="preserve"> </w:t>
      </w:r>
      <w:r>
        <w:t xml:space="preserve">Schéma des différentes plaques d'un kinétochore</w:t>
      </w:r>
      <w:r>
        <w:t xml:space="preserve"> </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4" w:name="les-microtubules"/>
      <w:bookmarkEnd w:id="34"/>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w:t>
      </w:r>
      <w:r>
        <w:t xml:space="preserve"> </w:t>
      </w:r>
      <w:r>
        <w:t xml:space="preserve">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w:t>
      </w:r>
      <w:r>
        <w:t xml:space="preserve"> </w:t>
      </w:r>
      <w:r>
        <w:t xml:space="preserve">B). Les deux extrémités étant chargées différemment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5"/>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 2010)</w:t>
      </w:r>
      <w:r>
        <w:t xml:space="preserve">.</w:t>
      </w:r>
    </w:p>
    <w:p>
      <w:pPr>
        <w:pStyle w:val="BodyText"/>
      </w:pPr>
      <w:r>
        <w:t xml:space="preserve">Les microtubules, et d'une manière plus générale l'ensemble des protéines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 distance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 très connus et étudiés. Parmi eux les kinésines se déplacent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c'est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est capable de modifier cette dynamicité. Notamment une famille de protéines est connue pour induire la dépolymérisation des microtubules pendant la mitose.</w:t>
      </w:r>
    </w:p>
    <w:p>
      <w:pPr>
        <w:pStyle w:val="Heading3"/>
      </w:pPr>
      <w:bookmarkStart w:id="36" w:name="les-kinésines-dépolymérisatrices-de-microtubule"/>
      <w:bookmarkEnd w:id="36"/>
      <w:r>
        <w:t xml:space="preserve">Les kinésines dépolymérisatrices de microtubule</w:t>
      </w:r>
    </w:p>
    <w:p>
      <w:pPr>
        <w:pStyle w:val="FirstParagraph"/>
      </w:pPr>
      <w:r>
        <w:t xml:space="preserve">Les premières études sur cette famille de kinésines ont commencé dans les années 1990 (voir cette excellente revue à propos de cette famille de kinésine par Claire E. Walczak</w:t>
      </w:r>
      <w:r>
        <w:t xml:space="preserve"> </w:t>
      </w:r>
      <w:r>
        <w:t xml:space="preserve">(Walczak et al., 2013)</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d'agrandir la taille des microtubules qui présentent par ailleurs un taux de catastrophe plus élevé</w:t>
      </w:r>
      <w:r>
        <w:t xml:space="preserve"> </w:t>
      </w:r>
      <w:r>
        <w:t xml:space="preserve">(Walczak et al., 1996)</w:t>
      </w:r>
      <w:r>
        <w:t xml:space="preserve">. Par la suite la kinésine-13 a été retrouvée chez un grand nombre d'autres organismes pour lesquels il a été montré un rôle dans la déstabilisation des microtubules</w:t>
      </w:r>
      <w:r>
        <w:t xml:space="preserve"> </w:t>
      </w:r>
      <w:r>
        <w:t xml:space="preserve">(Ganem et al., 2005; Maney and Hunter, 1998)</w:t>
      </w:r>
      <w:r>
        <w:t xml:space="preserve">.</w:t>
      </w:r>
    </w:p>
    <w:p>
      <w:pPr>
        <w:pStyle w:val="BodyText"/>
      </w:pPr>
      <w:r>
        <w:t xml:space="preserve">Étonnement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 2002; West et al., 2002)</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 1997)</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 2005; Jaqaman et al., 2010; Mayr et al., 2007; Stumpff et al., 2008; Wargacki et al., 2010)</w:t>
      </w:r>
      <w:r>
        <w:t xml:space="preserve">.</w:t>
      </w:r>
    </w:p>
    <w:p>
      <w:pPr>
        <w:pStyle w:val="BodyText"/>
      </w:pPr>
      <w:r>
        <w:t xml:space="preserve">Une étude phylogénique sur les kinésines</w:t>
      </w:r>
      <w:r>
        <w:t xml:space="preserve"> </w:t>
      </w:r>
      <w:r>
        <w:t xml:space="preserve">(Wickstead and Gull, 2006)</w:t>
      </w:r>
      <w:r>
        <w:t xml:space="preserve"> </w:t>
      </w:r>
      <w:r>
        <w:t xml:space="preserve">suggère que tout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 2004; Peters et al., 2010)</w:t>
      </w:r>
      <w:r>
        <w:t xml:space="preserve"> </w:t>
      </w:r>
      <w:r>
        <w:t xml:space="preserve">montre une très forte similarité dans l'agencement spatial des brins et des hélices les composant (Figure</w:t>
      </w:r>
      <w:r>
        <w:t xml:space="preserve"> </w:t>
      </w:r>
      <w:r>
        <w:t xml:space="preserve">),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7"/>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Vue 3D de la kinésine-13 (MCAK) et de la kinésine-8 (Kif18a) chez des cellules humaines. La troisième vue montre une superposition des deux protéines.</w:t>
      </w:r>
      <w:r>
        <w:t xml:space="preserve"> </w:t>
      </w:r>
      <w:r>
        <w:t xml:space="preserve">(Walczak et al., 2013)</w:t>
      </w:r>
      <w:r>
        <w:t xml:space="preserve"> </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w:t>
      </w:r>
      <w:r>
        <w:t xml:space="preserve"> </w:t>
      </w:r>
      <w:r>
        <w:t xml:space="preserve">.</w:t>
      </w:r>
    </w:p>
    <w:p>
      <w:pPr>
        <w:pStyle w:val="FigureWithCaption"/>
      </w:pPr>
      <w:r>
        <w:drawing>
          <wp:inline>
            <wp:extent cx="5486400" cy="2469488"/>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8"/>
                    <a:stretch>
                      <a:fillRect/>
                    </a:stretch>
                  </pic:blipFill>
                  <pic:spPr bwMode="auto">
                    <a:xfrm>
                      <a:off x="0" y="0"/>
                      <a:ext cx="5486400" cy="2469488"/>
                    </a:xfrm>
                    <a:prstGeom prst="rect">
                      <a:avLst/>
                    </a:prstGeom>
                    <a:noFill/>
                    <a:ln w="9525">
                      <a:noFill/>
                      <a:headEnd/>
                      <a:tailEnd/>
                    </a:ln>
                  </pic:spPr>
                </pic:pic>
              </a:graphicData>
            </a:graphic>
          </wp:inline>
        </w:drawing>
      </w:r>
    </w:p>
    <w:p>
      <w:pPr>
        <w:pStyle w:val="ImageCaption"/>
      </w:pPr>
      <w:r>
        <w:t xml:space="preserve">Vue schématique des domaines protéiques composant la kinésine-8 chez la cellule humaine, la levure à bourgeon et la levure à fission</w:t>
      </w:r>
      <w:r>
        <w:t xml:space="preserve"> </w:t>
      </w:r>
      <w:r>
        <w:t xml:space="preserve">(Messin and Millar, 2014)</w:t>
      </w:r>
      <w:r>
        <w:t xml:space="preserve">.</w:t>
      </w:r>
      <w:r>
        <w:t xml:space="preserve"> </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9" w:name="lancrage-du-microtubule-au-kinétochore"/>
      <w:bookmarkEnd w:id="39"/>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 2002, 2006; McCleland et al., 2004; Wigge and Kilmartin, 2001)</w:t>
      </w:r>
      <w:r>
        <w:t xml:space="preserve">.</w:t>
      </w:r>
    </w:p>
    <w:p>
      <w:pPr>
        <w:pStyle w:val="BodyText"/>
      </w:pPr>
      <w:r>
        <w:t xml:space="preserve">Ce complexe est un hétérotetramère composé de quatre protéines (voir Figure</w:t>
      </w:r>
      <w:r>
        <w:t xml:space="preserve"> </w:t>
      </w:r>
      <w:r>
        <w:t xml:space="preserve">A): Ndc80, (Hec1 chez les humains), Nuf2, Spc24 et Spc25</w:t>
      </w:r>
      <w:r>
        <w:t xml:space="preserve"> </w:t>
      </w:r>
      <w:r>
        <w:t xml:space="preserve">(Wei et al., 2005)</w:t>
      </w:r>
      <w:r>
        <w:t xml:space="preserve">.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 2005; Westermann et al., 2006)</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40"/>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 2014)</w:t>
      </w:r>
      <w:r>
        <w:t xml:space="preserve">.</w:t>
      </w:r>
      <w:r>
        <w:t xml:space="preserve"> </w:t>
      </w:r>
    </w:p>
    <w:p>
      <w:pPr>
        <w:pStyle w:val="BodyText"/>
      </w:pPr>
      <w:r>
        <w:t xml:space="preserve">Plus récemment J.G DeLuca et al. et son équipe ont proposé un modèle continu de l'attachement des microtubules au kinétochore</w:t>
      </w:r>
      <w:r>
        <w:t xml:space="preserve"> </w:t>
      </w:r>
      <w:r>
        <w:t xml:space="preserve">(Zaytsev et al., 2014)</w:t>
      </w:r>
      <w:r>
        <w:t xml:space="preserve">. En effet les sites d'attachement ne sont plus vus comme un espace bien défini qu'il est possible de compter mais comme une surface sur laquelle les attachements se font de manière non exclusive (voir Figure</w:t>
      </w:r>
      <w:r>
        <w:t xml:space="preserve"> </w:t>
      </w:r>
      <w:r>
        <w:t xml:space="preserve">B).</w:t>
      </w:r>
    </w:p>
    <w:p>
      <w:pPr>
        <w:pStyle w:val="Heading3"/>
      </w:pPr>
      <w:bookmarkStart w:id="41" w:name="les-différents-type-dattachements"/>
      <w:bookmarkEnd w:id="41"/>
      <w:r>
        <w:t xml:space="preserve">Les différents type d'attachements</w:t>
      </w:r>
    </w:p>
    <w:p>
      <w:pPr>
        <w:pStyle w:val="FirstParagraph"/>
      </w:pPr>
      <w:r>
        <w:t xml:space="preserve">L'association des kinétochores sœurs avec leurs pôles respectifs s’appelle un attachement amphitélique, on parle aussi de chromosomes biorientés (voir Figure</w:t>
      </w:r>
      <w:r>
        <w:t xml:space="preserve"> </w:t>
      </w:r>
      <w:r>
        <w:t xml:space="preserve">).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w:t>
      </w:r>
      <w:r>
        <w:t xml:space="preserve"> </w:t>
      </w:r>
      <w:r>
        <w:t xml:space="preserve">):</w:t>
      </w:r>
    </w:p>
    <w:p>
      <w:pPr>
        <w:numPr>
          <w:numId w:val="1006"/>
          <w:ilvl w:val="0"/>
        </w:numPr>
      </w:pPr>
      <w:r>
        <w:rPr>
          <w:b/>
        </w:rPr>
        <w:t xml:space="preserve">monotélique</w:t>
      </w:r>
      <w:r>
        <w:t xml:space="preserve"> </w:t>
      </w:r>
      <w:r>
        <w:t xml:space="preserve">: seulement un des deux kinétochores est attaché à aux MTs provenant tous du même pôle.</w:t>
      </w:r>
    </w:p>
    <w:p>
      <w:pPr>
        <w:numPr>
          <w:numId w:val="1006"/>
          <w:ilvl w:val="0"/>
        </w:numPr>
      </w:pPr>
      <w:r>
        <w:rPr>
          <w:b/>
        </w:rPr>
        <w:t xml:space="preserve">syntélique</w:t>
      </w:r>
      <w:r>
        <w:t xml:space="preserve"> </w:t>
      </w:r>
      <w:r>
        <w:t xml:space="preserve">: les deux kinétochores sont associés à des MTs provenant du même pôle.</w:t>
      </w:r>
    </w:p>
    <w:p>
      <w:pPr>
        <w:numPr>
          <w:numId w:val="1006"/>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076700" cy="30353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2"/>
                    <a:stretch>
                      <a:fillRect/>
                    </a:stretch>
                  </pic:blipFill>
                  <pic:spPr bwMode="auto">
                    <a:xfrm>
                      <a:off x="0" y="0"/>
                      <a:ext cx="4076700" cy="3035300"/>
                    </a:xfrm>
                    <a:prstGeom prst="rect">
                      <a:avLst/>
                    </a:prstGeom>
                    <a:noFill/>
                    <a:ln w="9525">
                      <a:noFill/>
                      <a:headEnd/>
                      <a:tailEnd/>
                    </a:ln>
                  </pic:spPr>
                </pic:pic>
              </a:graphicData>
            </a:graphic>
          </wp:inline>
        </w:drawing>
      </w:r>
    </w:p>
    <w:p>
      <w:pPr>
        <w:pStyle w:val="ImageCaption"/>
      </w:pPr>
      <w:r>
        <w:t xml:space="preserve">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 1982)</w:t>
      </w:r>
      <w:r>
        <w:t xml:space="preserve">.</w:t>
      </w:r>
    </w:p>
    <w:p>
      <w:pPr>
        <w:pStyle w:val="BodyText"/>
      </w:pPr>
      <w:r>
        <w:t xml:space="preserve">Par ailleurs des expériences de laser ablation sur des chromosomes en métaphase</w:t>
      </w:r>
      <w:r>
        <w:t xml:space="preserve"> </w:t>
      </w:r>
      <w:r>
        <w:t xml:space="preserve">(Skibbens et al., 1995)</w:t>
      </w:r>
      <w:r>
        <w:t xml:space="preserve"> </w:t>
      </w:r>
      <w:r>
        <w:t xml:space="preserve">ont montré que les deux chromatides sœurs se déplacent vers leurs pôles respectifs après avoir ablater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 1986)</w:t>
      </w:r>
      <w:r>
        <w:t xml:space="preserve">.</w:t>
      </w:r>
    </w:p>
    <w:p>
      <w:pPr>
        <w:pStyle w:val="BodyText"/>
      </w:pPr>
      <w:r>
        <w:t xml:space="preserve"> </w:t>
      </w:r>
      <w:r>
        <w:t xml:space="preserve">Un des mécanismes proposé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 2006)</w:t>
      </w:r>
      <w:r>
        <w:t xml:space="preserve">. Comme présenté sur la Figure</w:t>
      </w:r>
      <w:r>
        <w:t xml:space="preserve"> </w:t>
      </w:r>
      <w:r>
        <w:t xml:space="preserve">, si la distance entre les deux kinétochores est grande, due à une tension élevée, Aurora B n'a pas accès aux protéines du kinétochore et ne pourra donc pas déstabiliser l'attachement</w:t>
      </w:r>
      <w:r>
        <w:t xml:space="preserve"> </w:t>
      </w:r>
      <w:r>
        <w:t xml:space="preserve">(Tanaka et al., 2002)</w:t>
      </w:r>
      <w:r>
        <w:t xml:space="preserve">.</w:t>
      </w:r>
    </w:p>
    <w:p>
      <w:pPr>
        <w:pStyle w:val="FigureWithCaption"/>
      </w:pPr>
      <w:r>
        <w:drawing>
          <wp:inline>
            <wp:extent cx="5486400" cy="2007524"/>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3"/>
                    <a:stretch>
                      <a:fillRect/>
                    </a:stretch>
                  </pic:blipFill>
                  <pic:spPr bwMode="auto">
                    <a:xfrm>
                      <a:off x="0" y="0"/>
                      <a:ext cx="5486400" cy="2007524"/>
                    </a:xfrm>
                    <a:prstGeom prst="rect">
                      <a:avLst/>
                    </a:prstGeom>
                    <a:noFill/>
                    <a:ln w="9525">
                      <a:noFill/>
                      <a:headEnd/>
                      <a:tailEnd/>
                    </a:ln>
                  </pic:spPr>
                </pic:pic>
              </a:graphicData>
            </a:graphic>
          </wp:inline>
        </w:drawing>
      </w:r>
    </w:p>
    <w:p>
      <w:pPr>
        <w:pStyle w:val="ImageCaption"/>
      </w:pPr>
      <w:r>
        <w:t xml:space="preserve">Le mécanisme de déstabilisation de l'attachement KT-MT. Quand les deux kinétochores sœurs sont éloignées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impliqué Aurora B</w:t>
      </w:r>
      <w:r>
        <w:t xml:space="preserve"> </w:t>
      </w:r>
      <w:r>
        <w:t xml:space="preserve">(Cimini et al., 2006)</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 2009)</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4" w:name="la-métaphase-point-dorgue-de-la-division-cellulaire"/>
      <w:bookmarkEnd w:id="44"/>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w:t>
      </w:r>
      <w:r>
        <w:t xml:space="preserve"> </w:t>
      </w:r>
      <w:r>
        <w:t xml:space="preserve">).</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5"/>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 2008; Wan et al., 2012)</w:t>
      </w:r>
    </w:p>
    <w:p>
      <w:pPr>
        <w:pStyle w:val="Heading3"/>
      </w:pPr>
      <w:bookmarkStart w:id="46" w:name="la-congression-des-chromosomes"/>
      <w:bookmarkEnd w:id="46"/>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commence à être de mieux en mieux compris (voir</w:t>
      </w:r>
      <w:r>
        <w:t xml:space="preserve"> </w:t>
      </w:r>
      <w:r>
        <w:t xml:space="preserve">Auckland and McAinsh (2015)</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w:t>
      </w:r>
      <w:r>
        <w:t xml:space="preserve"> </w:t>
      </w:r>
      <w:r>
        <w:t xml:space="preserve">).</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7"/>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 2002)</w:t>
      </w:r>
    </w:p>
    <w:p>
      <w:pPr>
        <w:pStyle w:val="BodyText"/>
      </w:pPr>
      <w:r>
        <w:t xml:space="preserve">L'un des modèles de congression propose que les kinétochores soient capable de « sentir » leur position au sein du fuseau pour favoriser au moment la métaphase une position centrale au milieu des deux pôles.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 2004)</w:t>
      </w:r>
      <w:r>
        <w:t xml:space="preserve">. Un effet qu'on retrouve aussi dans des chromosomes alignés</w:t>
      </w:r>
      <w:r>
        <w:t xml:space="preserve"> </w:t>
      </w:r>
      <w:r>
        <w:t xml:space="preserve">(Jaqaman et al., 2010)</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 2012)</w:t>
      </w:r>
      <w:r>
        <w:t xml:space="preserve">. Dans ce cas là, l'augmentation de la protéine Kif18A sur le kinétochore AP réduit la dynamique du microtubule</w:t>
      </w:r>
      <w:r>
        <w:t xml:space="preserve"> </w:t>
      </w:r>
      <w:r>
        <w:t xml:space="preserve">(Du et al., 2010; Stumpff et al., 2011)</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 2012)</w:t>
      </w:r>
      <w:r>
        <w:t xml:space="preserve"> </w:t>
      </w:r>
      <w:r>
        <w:t xml:space="preserve">et que Aurora A pourrait former un gradient au niveau des pôles du fuseau</w:t>
      </w:r>
      <w:r>
        <w:t xml:space="preserve"> </w:t>
      </w:r>
      <w:r>
        <w:t xml:space="preserve">(Hochegger et al., 2013; Ye et al., 2015)</w:t>
      </w:r>
      <w:r>
        <w:t xml:space="preserv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moment le fuseau subit une contrainte maximum car tout les chromosomes sont attachés et produisent une force. Le complexe cohésine contre-balance les forces appliquées au kinétochores. De plus les microtubules inter-digitée produisent aussi une force d'extension du fuseau au niveau de la zone inter-digitée.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 1983)</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Schéma d'un fuseau mitotique en métaphase (mitose fermé).</w:t>
      </w:r>
      <w:r>
        <w:t xml:space="preserve"> </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tout les attachements soit garantie (voir</w:t>
      </w:r>
      <w:r>
        <w:t xml:space="preserve"> </w:t>
      </w:r>
      <w:r>
        <w:t xml:space="preserve">Lara-Gonzalez et al. (2012)</w:t>
      </w:r>
      <w:r>
        <w:t xml:space="preserve"> </w:t>
      </w:r>
      <w:r>
        <w:t xml:space="preserve">pour une revue). Quand un attachement est incorrect (voir Figure</w:t>
      </w:r>
      <w:r>
        <w:t xml:space="preserve"> </w:t>
      </w:r>
      <w:r>
        <w:t xml:space="preserve"> </w:t>
      </w:r>
      <w:r>
        <w:t xml:space="preserve">pour les attachements corrects/incorrects), il active le SAC qui bloque le cycle cellulaire.</w:t>
      </w:r>
    </w:p>
    <w:p>
      <w:pPr>
        <w:pStyle w:val="BodyText"/>
      </w:pPr>
      <w:r>
        <w:t xml:space="preserve">Jusqu'à la métaphase les chromatides sœurs sont maintenues entre elles par par un complexe protéique appelé la cohésine</w:t>
      </w:r>
      <w:r>
        <w:t xml:space="preserve"> </w:t>
      </w:r>
      <w:r>
        <w:t xml:space="preserve">(Nasmyth and Haering, 2009)</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 2001)</w:t>
      </w:r>
      <w:r>
        <w:t xml:space="preserve"> </w:t>
      </w:r>
      <w:r>
        <w:t xml:space="preserve">appelé le « Mitotic Checkpoint Complex » (MCC) (Figure</w:t>
      </w:r>
      <w:r>
        <w:t xml:space="preserve"> </w:t>
      </w:r>
      <w:r>
        <w:t xml:space="preserve">). Ce complexe est à ce jour connu pour être l'inhibiteur principal de l'APC/C. L'APC/C est une E3 ubiquitine ligase qui cible des protéines du cycle cellulaire afin de les dégrader par protéolyse</w:t>
      </w:r>
      <w:r>
        <w:t xml:space="preserve"> </w:t>
      </w:r>
      <w:r>
        <w:t xml:space="preserve">(Pines, 2011)</w:t>
      </w:r>
      <w:r>
        <w:t xml:space="preserve">. L'une des cibles de l'APC/C est la sécurine qui inhibe la protéine capable de cliver la cohésine appelée la séparase (Figure</w:t>
      </w:r>
      <w:r>
        <w:t xml:space="preserve"> </w:t>
      </w:r>
      <w:r>
        <w:t xml:space="preserve">).</w:t>
      </w:r>
    </w:p>
    <w:p>
      <w:pPr>
        <w:pStyle w:val="FigureWithCaption"/>
      </w:pPr>
      <w:r>
        <w:drawing>
          <wp:inline>
            <wp:extent cx="5143500" cy="27432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43500" cy="2743200"/>
                    </a:xfrm>
                    <a:prstGeom prst="rect">
                      <a:avLst/>
                    </a:prstGeom>
                    <a:noFill/>
                    <a:ln w="9525">
                      <a:noFill/>
                      <a:headEnd/>
                      <a:tailEnd/>
                    </a:ln>
                  </pic:spPr>
                </pic:pic>
              </a:graphicData>
            </a:graphic>
          </wp:inline>
        </w:drawing>
      </w:r>
    </w:p>
    <w:p>
      <w:pPr>
        <w:pStyle w:val="ImageCaption"/>
      </w:pPr>
      <w:r>
        <w:t xml:space="preserve">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r>
        <w:t xml:space="preserve"> </w:t>
      </w:r>
    </w:p>
    <w:p>
      <w:pPr>
        <w:pStyle w:val="BodyText"/>
      </w:pPr>
      <w:r>
        <w:t xml:space="preserve">La façon dont les kinétochores non-attachés recrutent le MCC implique un complexe réseau de protéines situées au niveau du kinétochore. Pour une revue détaillée voir</w:t>
      </w:r>
      <w:r>
        <w:t xml:space="preserve"> </w:t>
      </w:r>
      <w:r>
        <w:t xml:space="preserve">Musacchio and Salmon (2007)</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(1995)</w:t>
      </w:r>
      <w:r>
        <w:t xml:space="preserve"> </w:t>
      </w:r>
      <w:r>
        <w:t xml:space="preserve">pour un exemple de modélisation chez la levure à fission). Ce type de problème dynamique est souvent modélisé à l'aide d'un système d'équation différentiel. Bien que les modèles de réseaux métaboliques peuvent pendre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 en jeu durant ce processus. Tandis que les mathématiciens sont plus concernés par le développement d'un modèle mathématique universel qui pourrait décrire la mitose.</w:t>
      </w:r>
    </w:p>
    <w:p>
      <w:pPr>
        <w:pStyle w:val="Heading3"/>
      </w:pPr>
      <w:bookmarkStart w:id="53" w:name="la-modélisation-késako"/>
      <w:bookmarkEnd w:id="53"/>
      <w:r>
        <w:t xml:space="preserve">La modélisation : késako ?</w:t>
      </w:r>
    </w:p>
    <w:p>
      <w:pPr>
        <w:pStyle w:val="FirstParagraph"/>
      </w:pPr>
      <w:r>
        <w:t xml:space="preserve">La modélisation est un vaste champs de recherche et il existe une grande variété de classe de modèle. Les expériences de modélisation effectuées durant ce travail et d'une manière plus générale, les modèles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 classe de modèle (comme les modèles de « boites noires », non discutés ici). On notera qu'il est aussi possible d'appliquer une série d'approximation afin de réduire la complexité du processus étudié et ainsi 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produient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w:t>
      </w:r>
      <w:r>
        <w:t xml:space="preserve"> </w:t>
      </w:r>
      <w:r>
        <w:t xml:space="preserve">).</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Schéma reproduisant un workflow expérimental possible lors de l'étude d'un phénomène biologique par une approche de modélisation (adapté de</w:t>
      </w:r>
      <w:r>
        <w:t xml:space="preserve"> </w:t>
      </w:r>
      <w:r>
        <w:t xml:space="preserve">Woelke et al. (2010)</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aux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 2013; Nedelec and Foethke, 2007)</w:t>
      </w:r>
      <w:r>
        <w:t xml:space="preserve">, la génération de force au niveau de l'attachement kinétochore-microtubule</w:t>
      </w:r>
      <w:r>
        <w:t xml:space="preserve"> </w:t>
      </w:r>
      <w:r>
        <w:t xml:space="preserve">(Keener and Shtylla, 2014, Shtylla and Keener, 2011)</w:t>
      </w:r>
      <w:r>
        <w:t xml:space="preserve">, l'effet de certaine kinésine sur la dynamique des microtubules</w:t>
      </w:r>
      <w:r>
        <w:t xml:space="preserve"> </w:t>
      </w:r>
      <w:r>
        <w:t xml:space="preserve">(Hough et al., 2009; Reese et al., 2014)</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L'assemblage du fuseau mitotique a été l'un des premiers processus mitotique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 2005)</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Modèle numérique de l'assemblage du fuseau</w:t>
      </w:r>
      <w:r>
        <w:t xml:space="preserve"> </w:t>
      </w:r>
      <w:r>
        <w:t xml:space="preserve">(Paul et al., 2009)</w:t>
      </w:r>
      <w:r>
        <w:t xml:space="preserve">.</w:t>
      </w:r>
      <w:r>
        <w:t xml:space="preserve"> </w:t>
      </w:r>
      <w:r>
        <w:rPr>
          <w:b/>
        </w:rPr>
        <w:t xml:space="preserve">A</w:t>
      </w:r>
      <w:r>
        <w:t xml:space="preserve">. Des chromosomes durant la phase « recherche et capture ». Certains kinétochore sont attachés (en vert) et d'autres sont non attachés (en bleu).</w:t>
      </w:r>
      <w:r>
        <w:t xml:space="preserve"> </w:t>
      </w:r>
      <w:r>
        <w:rPr>
          <w:b/>
        </w:rPr>
        <w:t xml:space="preserve">B</w:t>
      </w:r>
      <w:r>
        <w:t xml:space="preserve">. 4 type d'attachements possibles des chromosomes.</w:t>
      </w:r>
      <w:r>
        <w:t xml:space="preserve"> </w:t>
      </w:r>
    </w:p>
    <w:p>
      <w:pPr>
        <w:pStyle w:val="BodyText"/>
      </w:pPr>
      <w:r>
        <w:t xml:space="preserve">Un modèle propose que l'un de ces biais pourrait être la présence d'un gradient de RanGTP autour des kinétochores (Figure</w:t>
      </w:r>
      <w:r>
        <w:t xml:space="preserve"> </w:t>
      </w:r>
      <w:r>
        <w:t xml:space="preserve">). Une plus forte concentration de RanGTP stabiliserait les microtubules et les ferait croître en direction des kinétochore (loin des pôles). Des simulations numériques ont montré que ce biais spatial lors du processus de recherche augmenterait la vitesse de capture</w:t>
      </w:r>
      <w:r>
        <w:t xml:space="preserve"> </w:t>
      </w:r>
      <w:r>
        <w:t xml:space="preserve">(Wollman et al., 2005)</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Temps moyen de capture de tout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 2005)</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cherche et capture » aléatoires ont montré la présence de 65% d'attachement mérotélique et seulement 15% d'attachement amphitélique</w:t>
      </w:r>
      <w:r>
        <w:t xml:space="preserve"> </w:t>
      </w:r>
      <w:r>
        <w:t xml:space="preserve">(Paul et al., 2009)</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w:t>
      </w:r>
      <w:r>
        <w:t xml:space="preserve"> </w:t>
      </w:r>
      <w:r>
        <w:t xml:space="preserve">A). Ce mécanisme réduit de manière importante le pourcentage d'erreurs quand il est inclus dans des simulations numériques</w:t>
      </w:r>
      <w:r>
        <w:t xml:space="preserve"> </w:t>
      </w:r>
      <w:r>
        <w:t xml:space="preserve">(Mogilner and Craig, 2010; Paul et al., 2009)</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 2004)</w:t>
      </w:r>
      <w:r>
        <w:t xml:space="preserve"> </w:t>
      </w:r>
      <w:r>
        <w:t xml:space="preserve">jusqu'à cd que seuls les attachements amphitéliques soient conservés. Ceci est possible seulement si les taux d'attachement et de détachement dépendent de l'état d'attachement du kinétochore comme illustré Figure</w:t>
      </w:r>
      <w:r>
        <w:t xml:space="preserve"> </w:t>
      </w:r>
      <w:r>
        <w:t xml:space="preserve">B. Ici aussi des simulations numériques ont montré que ce mécanisme réduit de manière très importante le nombre d'erreurs d'attachement</w:t>
      </w:r>
      <w:r>
        <w:t xml:space="preserve"> </w:t>
      </w:r>
      <w:r>
        <w:t xml:space="preserve">(Mogilner and Craig, 2010; Paul et al., 2009)</w:t>
      </w:r>
      <w:r>
        <w:t xml:space="preserve">.</w:t>
      </w:r>
    </w:p>
    <w:p>
      <w:pPr>
        <w:pStyle w:val="BodyText"/>
      </w:pPr>
      <w:r>
        <w:t xml:space="preserve">Le mécanisme modulant les probabilités d'attachement en fonction de l'état du kinétochore pourrait impliquer une protéine telle que Aurora B comme déjà discuté en</w:t>
      </w:r>
      <w:r>
        <w:t xml:space="preserve"> </w:t>
      </w:r>
      <w:r>
        <w:t xml:space="preserve">.</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 2015; Jaqaman et al., 2010; Ke et al., 2009; Wan et al., 2012)</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 1985)</w:t>
      </w:r>
      <w:r>
        <w:t xml:space="preserve">. Ce modèle (« Hill sleeve model » en anglais) utilise des propriétés classiques de kinétique et thermodynamique pour montrer comment un microtubule qui dépolymérise peut rester attacher profondément dans une région du kinétochore composée de « crans » qui sont autant de mini barrières d'énergie (Figure</w:t>
      </w:r>
      <w:r>
        <w:t xml:space="preserve"> </w:t>
      </w:r>
      <w:r>
        <w:t xml:space="preserve">A). Les hétérodimères de tubuline interagissent avec un nombre fini de site d'attachement le long de cette région du kinétochore avec une affinité modérée. L'insertion est donc contrôlée par les fluctuations thermiques et le microtubule peut perdre des sous-unités (dépolymérisés)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basé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 2002)</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dû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Différents types d'attachement entre le microtubule et le kinétochore</w:t>
      </w:r>
      <w:r>
        <w:t xml:space="preserve"> </w:t>
      </w:r>
      <w:r>
        <w:t xml:space="preserve">(Civelekoglu-Scholey and Cimini, 2014)</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appela NDC80. Il fait office de coupleur dynamique.</w:t>
      </w:r>
    </w:p>
    <w:p>
      <w:pPr>
        <w:pStyle w:val="BodyText"/>
      </w:pPr>
      <w:r>
        <w:t xml:space="preserve">En 2006, une autre équipe proposa un modèle alternatif en se basant sur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 2006)</w:t>
      </w:r>
      <w:r>
        <w:t xml:space="preserve"> </w:t>
      </w:r>
      <w:r>
        <w:t xml:space="preserve">construit comme une balance de force est basé sur la présence des deux moteurs du kinétochores antagonistes, la dynéine et CENP-E, ainsi que deux membres de la famille des kinésine-13 localisés au niveau du pôle du fuseau et du kinétochore (Figure</w:t>
      </w:r>
      <w:r>
        <w:t xml:space="preserve"> </w:t>
      </w:r>
      <w:r>
        <w:t xml:space="preserve">B). L'anaphase est aussi reproduite en dégradant le lien élastique entre les deux kinétochores représentant la cohésine. Ce modèle est capable de reproduire certaines propriétés du mouvement des chromosomes telle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 modèle</w:t>
      </w:r>
      <w:r>
        <w:t xml:space="preserve"> </w:t>
      </w:r>
      <w:r>
        <w:t xml:space="preserve">(Gay et al., 2012)</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aussi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 2009)</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Modèle de ségrégation des chromosomes basé un attachement KT-MT stochastique</w:t>
      </w:r>
      <w:r>
        <w:t xml:space="preserve"> </w:t>
      </w:r>
      <w:r>
        <w:t xml:space="preserve">(Gay et al., 2012)</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 2012)</w:t>
      </w:r>
      <w:r>
        <w:t xml:space="preserve">. Ce modèle est composé d'objets viscoélastiques représentant les composants du fuseau (pôle, kinétochore, cohésine et site d'attachement). Chacune des ces unités est arrangée de façon à former un fuseau (Figure</w:t>
      </w:r>
      <w:r>
        <w:t xml:space="preserve"> </w:t>
      </w:r>
      <w:r>
        <w:t xml:space="preserve">). Les site d'attachement sont autant de moteurs qui tirent le chromosome en direction du pôle quand il est actif. Les attachements se désactivent de manière stochastique et aussi en prenant en compte deux mécanismes régulant l'attachement KT-MT: l'orientation du kinétochore et la tension exercée sur les deux kinétochores sœurs</w:t>
      </w:r>
      <w:r>
        <w:t xml:space="preserve"> </w:t>
      </w:r>
      <w:r>
        <w:t xml:space="preserve">(Gay et al., 2012)</w:t>
      </w:r>
      <w:r>
        <w:t xml:space="preserve">.</w:t>
      </w:r>
    </w:p>
    <w:p>
      <w:pPr>
        <w:pStyle w:val="BodyText"/>
      </w:pPr>
      <w:r>
        <w:t xml:space="preserve">Ce modèle décrit la dynamique du fuseau a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sont basés sur 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 2006)</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w:t>
      </w:r>
      <w:r>
        <w:t xml:space="preserve"> </w:t>
      </w:r>
      <w:r>
        <w:t xml:space="preserve">C). Le mécanisme est basé sur des observations biophysiques d'un complexe protéique, appelé NDC80 et supposé être responsable de l'attachement entre le microtubule et le kinétochore</w:t>
      </w:r>
      <w:r>
        <w:t xml:space="preserve"> </w:t>
      </w:r>
      <w:r>
        <w:t xml:space="preserve">(Alushin et al., 2010; Joglekar and DeLuca, 2009; Santaguida and Musacchio, 2009)</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 2010)</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 2005; Westermann et al., 2005)</w:t>
      </w:r>
      <w:r>
        <w:t xml:space="preserve">, le complexe DAM1, a vu apparaître des nouveaux modèles de l'attachement proposant le complexe DAM1 comme coupleur principal entre le microtubule et le kinétochore</w:t>
      </w:r>
      <w:r>
        <w:t xml:space="preserve"> </w:t>
      </w:r>
      <w:r>
        <w:t xml:space="preserve">(Efremov et al., 2007; McIntosh et al., 2008)</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 2007)</w:t>
      </w:r>
      <w:r>
        <w:t xml:space="preserve">. De plus cette association entre le kinétochore et le complexe DAM1 a aussi été observé</w:t>
      </w:r>
      <w:r>
        <w:t xml:space="preserve"> </w:t>
      </w:r>
      <w:r>
        <w:rPr>
          <w:i/>
        </w:rPr>
        <w:t xml:space="preserve">in vitro</w:t>
      </w:r>
      <w:r>
        <w:t xml:space="preserve"> </w:t>
      </w:r>
      <w:r>
        <w:t xml:space="preserve">par électro-microscopie</w:t>
      </w:r>
      <w:r>
        <w:t xml:space="preserve"> </w:t>
      </w:r>
      <w:r>
        <w:t xml:space="preserve">(McIntosh et al., 2008)</w:t>
      </w:r>
      <w:r>
        <w:t xml:space="preserve">.</w:t>
      </w:r>
    </w:p>
    <w:p>
      <w:pPr>
        <w:pStyle w:val="BodyText"/>
      </w:pPr>
      <w:r>
        <w:t xml:space="preserve">Une équipe propose un modèle de la dynamique des chromosomes chez la levure à bourgeon (</w:t>
      </w:r>
      <w:r>
        <w:rPr>
          <w:i/>
        </w:rPr>
        <w:t xml:space="preserve">Saccharomyces cerevisiae</w:t>
      </w:r>
      <w:r>
        <w:t xml:space="preserve">) chez qui chaque kinétochore ne peut contenir qu'un seul microtubule</w:t>
      </w:r>
      <w:r>
        <w:t xml:space="preserve"> </w:t>
      </w:r>
      <w:r>
        <w:t xml:space="preserve">(Gardner et al., 2005, 2008)</w:t>
      </w:r>
      <w:r>
        <w:t xml:space="preserve">. Le modèle mathématique prend en compte à la fois la régulation mécanique et moléculaire de la dynamique de l'extrémité + du microtubule attaché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simplifier deux modèles existent: l'énergie provient du microtubule (modèle de Hill) ou bien l'origine provient de protéines motrices (modèle de Civelekoglu-Scholey). On note qu'il est possible de modéliser le fuseau mitotique sans aucune des ces deux hypothèses</w:t>
      </w:r>
      <w:r>
        <w:t xml:space="preserve"> </w:t>
      </w:r>
      <w:r>
        <w:t xml:space="preserve">(Gay et al., 2012)</w:t>
      </w:r>
      <w:r>
        <w:t xml:space="preserve">.</w:t>
      </w:r>
    </w:p>
    <w:p>
      <w:pPr>
        <w:pStyle w:val="BodyText"/>
      </w:pPr>
      <w:r>
        <w:t xml:space="preserve">Pour une discussion plus détaillée sur les différents mécanismes capable de générer une force au niveau du kinétochore voir cet excellent commentaire de</w:t>
      </w:r>
      <w:r>
        <w:t xml:space="preserve"> </w:t>
      </w:r>
      <w:r>
        <w:t xml:space="preserve">Joglekar et al. (2010)</w:t>
      </w:r>
      <w:r>
        <w:t xml:space="preserve">.</w:t>
      </w:r>
    </w:p>
    <w:p>
      <w:pPr>
        <w:pStyle w:val="BodyText"/>
      </w:pPr>
      <w:r>
        <w:t xml:space="preserve">Dans un commentaire</w:t>
      </w:r>
      <w:r>
        <w:t xml:space="preserve"> </w:t>
      </w:r>
      <w:r>
        <w:t xml:space="preserve">(McIntosh, 2012)</w:t>
      </w:r>
      <w:r>
        <w:t xml:space="preserve">, J. McIntosh souligne que ce problème de l'origine du mouvement des chromosomes est encore incertaine et que la solution est probablement plus complexe qu'une origine unique pour tout les types de fuseaux et d'organismes existant. Il propose cependant dans une revue</w:t>
      </w:r>
      <w:r>
        <w:t xml:space="preserve"> </w:t>
      </w:r>
      <w:r>
        <w:t xml:space="preserve">(McIntosh et al., 2010)</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 2010)</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w:t>
      </w:r>
      <w:r>
        <w:t xml:space="preserve"> </w:t>
      </w:r>
      <w:r>
        <w:t xml:space="preserve">)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rPr>
          <w:b/>
        </w:rPr>
        <w:t xml:space="preserve">A</w:t>
      </w:r>
      <w:r>
        <w:t xml:space="preserve">. Vue en microscopie électronique à balayage de</w:t>
      </w:r>
      <w:r>
        <w:t xml:space="preserve"> </w:t>
      </w:r>
      <w:r>
        <w:rPr>
          <w:i/>
        </w:rPr>
        <w:t xml:space="preserve">S. pombe</w:t>
      </w:r>
      <w:r>
        <w:t xml:space="preserve"> </w:t>
      </w:r>
      <w:r>
        <w:t xml:space="preserve">(Morgan, 2007)</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 (Figure</w:t>
      </w:r>
      <w:r>
        <w:t xml:space="preserve"> </w:t>
      </w:r>
      <w:r>
        <w:t xml:space="preserve">).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 2012)</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 2009)</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 </w:t>
      </w:r>
      <w:r>
        <w:t xml:space="preserve">En 1996, un équipe a mis au point un système permettant la visualisation de la structure de la chromatine</w:t>
      </w:r>
      <w:r>
        <w:t xml:space="preserve"> </w:t>
      </w:r>
      <w:r>
        <w:t xml:space="preserve">(Robinett, 1996)</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w:t>
      </w:r>
      <w:r>
        <w:t xml:space="preserve"> </w:t>
      </w:r>
      <w:r>
        <w:t xml:space="preserve">A). Ce système a été appliqué par une autre équipe en 2003 afin de visualiser la partie péri-centromérique, proche du kinétochore, du chromosome II de la levure à fission</w:t>
      </w:r>
      <w:r>
        <w:t xml:space="preserve"> </w:t>
      </w:r>
      <w:r>
        <w:t xml:space="preserve">(Yamamoto and Hiraoka, 2003)</w:t>
      </w:r>
      <w:r>
        <w:t xml:space="preserve">. Cette souche associée à un marqueur fluorescent des pôles du fuseau permet donc la visualisation et le suivi dans le temps de la position d'un chromosome au sein du fuseau mitotique (Figure</w:t>
      </w:r>
      <w:r>
        <w:t xml:space="preserve"> </w:t>
      </w:r>
      <w:r>
        <w:t xml:space="preserve">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il se base en grande partie sur l'utilisation de souches de levure marquées pour les deux pôles du fuseau ainsi que les deux kinétochores du chromosome II (voir</w:t>
      </w:r>
      <w:r>
        <w:t xml:space="preserve"> </w:t>
      </w:r>
      <w:r>
        <w:t xml:space="preserve">). La position des kinétochores est ensuite suivi à l'aide d'un microscope à fluorescence à champ large durant la mitose afin de suivre, à différentes intervalles de temps, la position des kinétochores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 2012)</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fission-yeast-kinesin-8-controls-chromosome-congression-independently-of-oscillations"/>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Compact"/>
        <w:numPr>
          <w:numId w:val="1007"/>
          <w:ilvl w:val="0"/>
        </w:numPr>
      </w:pPr>
      <w:r>
        <w:t xml:space="preserve">parler de la détection par deflation (implementation trop lente?, pk ca marche pas pr nous?)</w:t>
      </w:r>
    </w:p>
    <w:p>
      <w:pPr>
        <w:pStyle w:val="Compact"/>
        <w:numPr>
          <w:numId w:val="1007"/>
          <w:ilvl w:val="0"/>
        </w:numPr>
      </w:pPr>
      <w:r>
        <w:t xml:space="preserve">parler de l'algo de jaquaman et de scikit tracker : pk ca marche pas ici aussi? du a détection trop mauvaise et pas à l'algo de tracking</w:t>
      </w:r>
    </w:p>
    <w:p>
      <w:pPr>
        <w:pStyle w:val="Heading3"/>
      </w:pPr>
      <w:bookmarkStart w:id="71" w:name="traitement-des-trajectoires-par-des-techniques-danalyse-du-signal"/>
      <w:bookmarkEnd w:id="71"/>
      <w:r>
        <w:t xml:space="preserve">Traitement des trajectoires par des techniques d'analyse du signal</w:t>
      </w:r>
    </w:p>
    <w:p>
      <w:pPr>
        <w:pStyle w:val="Compact"/>
        <w:numPr>
          <w:numId w:val="1008"/>
          <w:ilvl w:val="0"/>
        </w:numPr>
      </w:pPr>
      <w:r>
        <w:t xml:space="preserve">parler des techniques utilisées dans le papier et des problemes qu on a eu</w:t>
      </w:r>
    </w:p>
    <w:p>
      <w:pPr>
        <w:pStyle w:val="Heading3"/>
      </w:pPr>
      <w:bookmarkStart w:id="72" w:name="peut-on-inférer-létat-dattachement-par-lanalyse-de-la-trajectoire"/>
      <w:bookmarkEnd w:id="72"/>
      <w:r>
        <w:t xml:space="preserve">Peut-on inférer l'état d'attachement par l'analyse de la trajectoire ?</w:t>
      </w:r>
    </w:p>
    <w:p>
      <w:pPr>
        <w:pStyle w:val="Compact"/>
        <w:numPr>
          <w:numId w:val="1009"/>
          <w:ilvl w:val="0"/>
        </w:numPr>
      </w:pPr>
      <w:r>
        <w:t xml:space="preserve">broder un truc (probablement avec du data-driven bla bla bla)</w:t>
      </w:r>
    </w:p>
    <w:p>
      <w:pPr>
        <w:pStyle w:val="Heading3"/>
      </w:pPr>
      <w:bookmarkStart w:id="73" w:name="analyse-du-mouvement-des-chromosomes-par-des-approches-bayésiennes"/>
      <w:bookmarkEnd w:id="73"/>
      <w:r>
        <w:t xml:space="preserve">Analyse du mouvement des chromosomes par des approches bayésiennes</w:t>
      </w:r>
    </w:p>
    <w:p>
      <w:pPr>
        <w:pStyle w:val="Compact"/>
        <w:numPr>
          <w:numId w:val="1010"/>
          <w:ilvl w:val="0"/>
        </w:numPr>
      </w:pPr>
      <w:r>
        <w:t xml:space="preserve">broder aussi un truc avec des MSD toussa toussa</w:t>
      </w:r>
    </w:p>
    <w:p>
      <w:pPr>
        <w:pStyle w:val="Heading2"/>
      </w:pPr>
      <w:bookmarkStart w:id="74" w:name="modélisation-bio-mécanique-du-fuseau-mitotique"/>
      <w:bookmarkEnd w:id="74"/>
      <w:r>
        <w:t xml:space="preserve">Modélisation bio-mécanique du fuseau mitotique</w:t>
      </w:r>
    </w:p>
    <w:p>
      <w:pPr>
        <w:pStyle w:val="Heading3"/>
      </w:pPr>
      <w:bookmarkStart w:id="75" w:name="un-modèle-de-congression-alternatif"/>
      <w:bookmarkEnd w:id="75"/>
      <w:r>
        <w:t xml:space="preserve">Un modèle de congression alternatif</w:t>
      </w:r>
    </w:p>
    <w:p>
      <w:pPr>
        <w:pStyle w:val="Compact"/>
        <w:numPr>
          <w:numId w:val="1011"/>
          <w:ilvl w:val="0"/>
        </w:numPr>
      </w:pPr>
      <w:r>
        <w:t xml:space="preserve">parler de l'hyptothese 2</w:t>
      </w:r>
    </w:p>
    <w:p>
      <w:pPr>
        <w:pStyle w:val="Heading3"/>
      </w:pPr>
      <w:bookmarkStart w:id="76" w:name="vers-un-modèle-dattachement-à-trois-états"/>
      <w:bookmarkEnd w:id="76"/>
      <w:r>
        <w:t xml:space="preserve">Vers un modèle d'attachement à trois états</w:t>
      </w:r>
    </w:p>
    <w:p>
      <w:pPr>
        <w:pStyle w:val="Compact"/>
        <w:numPr>
          <w:numId w:val="1012"/>
          <w:ilvl w:val="0"/>
        </w:numPr>
      </w:pPr>
      <w:r>
        <w:t xml:space="preserve">parler de la tentative dajouter trois etats possibles d'attachement</w:t>
      </w:r>
    </w:p>
    <w:p>
      <w:pPr>
        <w:pStyle w:val="Heading1"/>
      </w:pPr>
      <w:bookmarkStart w:id="77" w:name="discussion"/>
      <w:bookmarkEnd w:id="77"/>
      <w:r>
        <w:t xml:space="preserve">Discussion</w:t>
      </w:r>
    </w:p>
    <w:p>
      <w:pPr>
        <w:pStyle w:val="Heading2"/>
      </w:pPr>
      <w:bookmarkStart w:id="78" w:name="le-mouvement-des-chromosomes-durant-la-mitose"/>
      <w:bookmarkEnd w:id="78"/>
      <w:r>
        <w:t xml:space="preserve">Le mouvement des chromosomes durant la mitose</w:t>
      </w:r>
    </w:p>
    <w:p>
      <w:pPr>
        <w:pStyle w:val="Heading2"/>
      </w:pPr>
      <w:bookmarkStart w:id="79" w:name="le-mécanisme-dalignement-des-chromosomes-de-lin-silico-à-lin-vivo"/>
      <w:bookmarkEnd w:id="79"/>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80" w:name="modéliser-la-mitose-jusquà-quelle-précision"/>
      <w:bookmarkEnd w:id="80"/>
      <w:r>
        <w:t xml:space="preserve">Modéliser la mitose : jusqu'à quelle précision ?</w:t>
      </w:r>
    </w:p>
    <w:p>
      <w:pPr>
        <w:pStyle w:val="FirstParagraph"/>
      </w:pPr>
    </w:p>
    <w:p>
      <w:pPr>
        <w:pStyle w:val="Heading1"/>
      </w:pPr>
      <w:bookmarkStart w:id="81" w:name="annexes"/>
      <w:bookmarkEnd w:id="81"/>
      <w:r>
        <w:t xml:space="preserve">Annexes</w:t>
      </w:r>
    </w:p>
    <w:p>
      <w:pPr>
        <w:pStyle w:val="Heading2"/>
      </w:pPr>
      <w:bookmarkStart w:id="82" w:name="annexe-1-bla-bla-bla-bla"/>
      <w:bookmarkEnd w:id="82"/>
      <w:r>
        <w:t xml:space="preserve">Annexe 1 : bla bla bla bla</w:t>
      </w:r>
    </w:p>
    <w:p>
      <w:pPr>
        <w:pStyle w:val="FirstParagraph"/>
      </w:pPr>
    </w:p>
    <w:p>
      <w:pPr>
        <w:pStyle w:val="Heading1"/>
      </w:pPr>
      <w:bookmarkStart w:id="83" w:name="bibliographie"/>
      <w:bookmarkEnd w:id="83"/>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8cea37e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96cb1b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Cambria" w:hAnsi="Cambria" w:eastAsia="Droid Sans Fallback" w:cs=""/>
        <w:sz w:val="24"/>
        <w:szCs w:val="24"/>
        <w:lang w:val="en-US" w:eastAsia="en-US" w:bidi="ar-SA"/>
      </w:rPr>
    </w:rPrDefault>
    <w:pPrDefault>
      <w:pPr/>
    </w:pPrDefault>
  </w:docDefaults>
  <w:latentStyles w:count="276" w:defQFormat="0" w:defUnhideWhenUsed="0" w:defSemiHidden="0" w:defUIPriority="0" w:defLockedState="0"/>
  <w:style w:type="paragraph" w:styleId="Normal" w:default="1">
    <w:name w:val="Normal"/>
    <w:qFormat/>
    <w:pPr>
      <w:widowControl/>
      <w:suppressAutoHyphens w:val="true"/>
      <w:bidi w:val="0"/>
      <w:spacing w:before="0" w:after="200"/>
      <w:jc w:val="left"/>
    </w:pPr>
    <w:rPr>
      <w:rFonts w:ascii="Cambria" w:hAnsi="Cambria" w:eastAsia="Droid Sans Fallback" w:cs=""/>
      <w:color w:val="auto"/>
      <w:sz w:val="24"/>
      <w:szCs w:val="24"/>
      <w:lang w:val="en-US" w:eastAsia="en-US" w:bidi="ar-SA"/>
    </w:rPr>
  </w:style>
  <w:style w:type="paragraph" w:styleId="Heading1">
    <w:name w:val="Heading 1"/>
    <w:uiPriority w:val="9"/>
    <w:qFormat/>
    <w:basedOn w:val="Normal"/>
    <w:next w:val="TextBody"/>
    <w:pPr>
      <w:keepNext/>
      <w:keepLines/>
      <w:numPr>
        <w:ilvl w:val="0"/>
        <w:numId w:val="1"/>
      </w:numPr>
      <w:spacing w:before="480" w:after="0"/>
      <w:outlineLvl w:val="0"/>
    </w:pPr>
    <w:rPr>
      <w:rFonts w:ascii="Calibri" w:hAnsi="Calibri" w:cs=""/>
      <w:b/>
      <w:bCs/>
      <w:color w:val="000000"/>
      <w:sz w:val="32"/>
      <w:szCs w:val="32"/>
    </w:rPr>
  </w:style>
  <w:style w:type="paragraph" w:styleId="Heading2">
    <w:name w:val="Heading 2"/>
    <w:uiPriority w:val="9"/>
    <w:qFormat/>
    <w:unhideWhenUsed/>
    <w:basedOn w:val="Normal"/>
    <w:next w:val="TextBody"/>
    <w:pPr>
      <w:keepNext/>
      <w:keepLines/>
      <w:spacing w:before="200" w:after="0"/>
      <w:outlineLvl w:val="1"/>
    </w:pPr>
    <w:rPr>
      <w:rFonts w:ascii="Calibri" w:hAnsi="Calibri" w:cs=""/>
      <w:b/>
      <w:bCs/>
      <w:color w:val="4F81BD"/>
      <w:sz w:val="32"/>
      <w:szCs w:val="32"/>
    </w:rPr>
  </w:style>
  <w:style w:type="paragraph" w:styleId="Heading3">
    <w:name w:val="Heading 3"/>
    <w:uiPriority w:val="9"/>
    <w:qFormat/>
    <w:unhideWhenUsed/>
    <w:basedOn w:val="Normal"/>
    <w:next w:val="TextBody"/>
    <w:pPr>
      <w:keepNext/>
      <w:keepLines/>
      <w:spacing w:before="200" w:after="0"/>
      <w:outlineLvl w:val="1"/>
    </w:pPr>
    <w:rPr>
      <w:rFonts w:ascii="Calibri" w:hAnsi="Calibri" w:cs=""/>
      <w:b/>
      <w:bCs/>
      <w:color w:val="4F81BD"/>
      <w:sz w:val="28"/>
      <w:szCs w:val="28"/>
    </w:rPr>
  </w:style>
  <w:style w:type="paragraph" w:styleId="Heading4">
    <w:name w:val="Heading 4"/>
    <w:uiPriority w:val="9"/>
    <w:qFormat/>
    <w:unhideWhenUsed/>
    <w:basedOn w:val="Normal"/>
    <w:next w:val="TextBody"/>
    <w:pPr>
      <w:keepNext/>
      <w:keepLines/>
      <w:spacing w:before="200" w:after="0"/>
      <w:outlineLvl w:val="1"/>
    </w:pPr>
    <w:rPr>
      <w:rFonts w:ascii="Calibri" w:hAnsi="Calibri" w:cs=""/>
      <w:b/>
      <w:bCs/>
      <w:color w:val="4F81BD"/>
      <w:sz w:val="24"/>
      <w:szCs w:val="24"/>
    </w:rPr>
  </w:style>
  <w:style w:type="paragraph" w:styleId="Heading5">
    <w:name w:val="Heading 5"/>
    <w:uiPriority w:val="9"/>
    <w:qFormat/>
    <w:unhideWhenUsed/>
    <w:basedOn w:val="Normal"/>
    <w:next w:val="TextBody"/>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rPr/>
  </w:style>
  <w:style w:type="character" w:styleId="BodyTextChar" w:customStyle="1">
    <w:name w:val="Body Text Char"/>
    <w:link w:val="BodyText"/>
    <w:basedOn w:val="DefaultParagraphFont"/>
    <w:rPr/>
  </w:style>
  <w:style w:type="character" w:styleId="VerbatimChar" w:customStyle="1">
    <w:name w:val="Verbatim Char"/>
    <w:basedOn w:val="BodyTextChar"/>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harTok" w:customStyle="1">
    <w:name w:val="CharTok"/>
    <w:basedOn w:val="VerbatimChar"/>
    <w:rPr>
      <w:color w:val="4070A0"/>
    </w:rPr>
  </w:style>
  <w:style w:type="character" w:styleId="StringTok" w:customStyle="1">
    <w:name w:val="StringTok"/>
    <w:basedOn w:val="VerbatimChar"/>
    <w:rPr>
      <w:color w:val="4070A0"/>
    </w:rPr>
  </w:style>
  <w:style w:type="character" w:styleId="CommentTok" w:customStyle="1">
    <w:name w:val="CommentTok"/>
    <w:basedOn w:val="VerbatimChar"/>
    <w:rPr>
      <w:i/>
      <w:color w:val="60A0B0"/>
    </w:rPr>
  </w:style>
  <w:style w:type="character" w:styleId="OtherTok" w:customStyle="1">
    <w:name w:val="OtherTok"/>
    <w:basedOn w:val="VerbatimChar"/>
    <w:rPr>
      <w:color w:val="007020"/>
    </w:rPr>
  </w:style>
  <w:style w:type="character" w:styleId="AlertTok" w:customStyle="1">
    <w:name w:val="AlertTok"/>
    <w:basedOn w:val="VerbatimChar"/>
    <w:rPr>
      <w:b/>
      <w:color w:val="FF0000"/>
    </w:rPr>
  </w:style>
  <w:style w:type="character" w:styleId="FunctionTok" w:customStyle="1">
    <w:name w:val="FunctionTok"/>
    <w:basedOn w:val="VerbatimChar"/>
    <w:rPr>
      <w:color w:val="06287E"/>
    </w:rPr>
  </w:style>
  <w:style w:type="character" w:styleId="RegionMarkerTok" w:customStyle="1">
    <w:name w:val="RegionMarkerTok"/>
    <w:basedOn w:val="VerbatimChar"/>
    <w:rPr/>
  </w:style>
  <w:style w:type="character" w:styleId="ErrorTok" w:customStyle="1">
    <w:name w:val="ErrorTok"/>
    <w:basedOn w:val="VerbatimChar"/>
    <w:rPr>
      <w:b/>
      <w:color w:val="FF0000"/>
    </w:rPr>
  </w:style>
  <w:style w:type="character" w:styleId="NormalTok" w:customStyle="1">
    <w:name w:val="NormalTok"/>
    <w:basedOn w:val="VerbatimChar"/>
    <w:rPr/>
  </w:style>
  <w:style w:type="character" w:styleId="NumberingSymbols">
    <w:name w:val="Numbering Symbol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qFormat/>
    <w:link w:val="BodyTextChar"/>
    <w:basedOn w:val="Normal"/>
    <w:pPr>
      <w:spacing w:lineRule="auto" w:line="288" w:before="180" w:after="180"/>
    </w:pPr>
    <w:rPr/>
  </w:style>
  <w:style w:type="paragraph" w:styleId="List">
    <w:name w:val="List"/>
    <w:basedOn w:val="TextBody"/>
    <w:pPr/>
    <w:rPr>
      <w:rFonts w:cs="FreeSans"/>
    </w:rPr>
  </w:style>
  <w:style w:type="paragraph" w:styleId="Caption">
    <w:name w:val="Caption"/>
    <w:link w:val="BodyTextChar"/>
    <w:basedOn w:val="Normal"/>
    <w:pPr>
      <w:suppressLineNumbers/>
      <w:spacing w:before="0" w:after="120"/>
    </w:pPr>
    <w:rPr>
      <w:rFonts w:cs="FreeSans"/>
      <w:i/>
      <w:iCs/>
      <w:sz w:val="24"/>
      <w:szCs w:val="24"/>
    </w:rPr>
  </w:style>
  <w:style w:type="paragraph" w:styleId="Index">
    <w:name w:val="Index"/>
    <w:basedOn w:val="Normal"/>
    <w:pPr>
      <w:suppressLineNumbers/>
    </w:pPr>
    <w:rPr>
      <w:rFonts w:cs="FreeSans"/>
    </w:rPr>
  </w:style>
  <w:style w:type="paragraph" w:styleId="FirstParagraph" w:customStyle="1">
    <w:name w:val="First Paragraph"/>
    <w:qFormat/>
    <w:basedOn w:val="TextBody"/>
    <w:next w:val="TextBody"/>
    <w:pPr/>
    <w:rPr/>
  </w:style>
  <w:style w:type="paragraph" w:styleId="Compact" w:customStyle="1">
    <w:name w:val="Compact"/>
    <w:qFormat/>
    <w:basedOn w:val="TextBody"/>
    <w:pPr>
      <w:spacing w:before="36" w:after="36"/>
    </w:pPr>
    <w:rPr/>
  </w:style>
  <w:style w:type="paragraph" w:styleId="Title">
    <w:name w:val="Title"/>
    <w:qFormat/>
    <w:basedOn w:val="Normal"/>
    <w:next w:val="TextBody"/>
    <w:pPr>
      <w:keepNext/>
      <w:keepLines/>
      <w:spacing w:before="480" w:after="240"/>
      <w:jc w:val="center"/>
    </w:pPr>
    <w:rPr>
      <w:rFonts w:ascii="Calibri" w:hAnsi="Calibri" w:cs=""/>
      <w:b/>
      <w:bCs/>
      <w:color w:val="345A8A"/>
      <w:sz w:val="36"/>
      <w:szCs w:val="36"/>
    </w:rPr>
  </w:style>
  <w:style w:type="paragraph" w:styleId="Subtitle">
    <w:name w:val="Subtitle"/>
    <w:qFormat/>
    <w:basedOn w:val="Title"/>
    <w:next w:val="TextBody"/>
    <w:pPr>
      <w:keepNext/>
      <w:keepLines/>
      <w:spacing w:before="240" w:after="240"/>
      <w:jc w:val="center"/>
    </w:pPr>
    <w:rPr>
      <w:sz w:val="30"/>
      <w:szCs w:val="30"/>
    </w:rPr>
  </w:style>
  <w:style w:type="paragraph" w:styleId="Author" w:customStyle="1">
    <w:name w:val="Author"/>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Date">
    <w:name w:val="Date"/>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Abstract" w:customStyle="1">
    <w:name w:val="Abstract"/>
    <w:qFormat/>
    <w:basedOn w:val="Normal"/>
    <w:next w:val="TextBody"/>
    <w:pPr>
      <w:keepNext/>
      <w:keepLines/>
      <w:spacing w:before="300" w:after="300"/>
    </w:pPr>
    <w:rPr>
      <w:sz w:val="20"/>
      <w:szCs w:val="20"/>
    </w:rPr>
  </w:style>
  <w:style w:type="paragraph" w:styleId="Bibliography">
    <w:name w:val="Bibliography"/>
    <w:qFormat/>
    <w:basedOn w:val="Normal"/>
    <w:pPr/>
    <w:rPr/>
  </w:style>
  <w:style w:type="paragraph" w:styleId="BlockText">
    <w:name w:val="Block Text"/>
    <w:uiPriority w:val="9"/>
    <w:qFormat/>
    <w:unhideWhenUsed/>
    <w:basedOn w:val="TextBody"/>
    <w:next w:val="TextBody"/>
    <w:pPr>
      <w:spacing w:before="100" w:after="100"/>
      <w:ind w:left="0" w:right="0" w:hanging="0"/>
    </w:pPr>
    <w:rPr>
      <w:rFonts w:ascii="Calibri" w:hAnsi="Calibri" w:cs=""/>
      <w:bCs/>
      <w:sz w:val="20"/>
      <w:szCs w:val="20"/>
    </w:rPr>
  </w:style>
  <w:style w:type="paragraph" w:styleId="Footnote">
    <w:name w:val="Footnote"/>
    <w:uiPriority w:val="9"/>
    <w:qFormat/>
    <w:unhideWhenUsed/>
    <w:basedOn w:val="Normal"/>
    <w:pPr/>
    <w:rPr/>
  </w:style>
  <w:style w:type="paragraph" w:styleId="DefinitionTerm" w:customStyle="1">
    <w:name w:val="Definition Term"/>
    <w:basedOn w:val="Normal"/>
    <w:pPr>
      <w:keepNext/>
      <w:keepLines/>
      <w:spacing w:before="0" w:after="0"/>
    </w:pPr>
    <w:rPr>
      <w:b/>
    </w:rPr>
  </w:style>
  <w:style w:type="paragraph" w:styleId="Definition" w:customStyle="1">
    <w:name w:val="Definition"/>
    <w:basedOn w:val="Normal"/>
    <w:pPr/>
    <w:rPr/>
  </w:style>
  <w:style w:type="paragraph" w:styleId="TableCaption" w:customStyle="1">
    <w:name w:val="Table Caption"/>
    <w:basedOn w:val="Caption"/>
    <w:pPr>
      <w:keepNext/>
    </w:pPr>
    <w:rPr/>
  </w:style>
  <w:style w:type="paragraph" w:styleId="ImageCaption" w:customStyle="1">
    <w:name w:val="Image Caption"/>
    <w:basedOn w:val="Caption"/>
    <w:pPr/>
    <w:rPr/>
  </w:style>
  <w:style w:type="paragraph" w:styleId="Figure" w:customStyle="1">
    <w:name w:val="Figure"/>
    <w:basedOn w:val="Normal"/>
    <w:pPr/>
    <w:rPr/>
  </w:style>
  <w:style w:type="paragraph" w:styleId="FigurewithCaption" w:customStyle="1">
    <w:name w:val="Figure with Caption"/>
    <w:basedOn w:val="Figure"/>
    <w:pPr>
      <w:keepNext/>
    </w:pPr>
    <w:rPr/>
  </w:style>
  <w:style w:type="paragraph" w:styleId="ContentsHeading">
    <w:name w:val="Contents Heading"/>
    <w:uiPriority w:val="39"/>
    <w:qFormat/>
    <w:unhideWhenUsed/>
    <w:basedOn w:val="Heading1"/>
    <w:next w:val="TextBody"/>
    <w:pPr>
      <w:spacing w:lineRule="auto" w:line="259" w:before="240" w:after="0"/>
    </w:pPr>
    <w:rPr>
      <w:rFonts w:ascii="Calibri" w:hAnsi="Calibri" w:cs=""/>
      <w:b w:val="false"/>
      <w:bCs w:val="false"/>
      <w:color w:val="365F91"/>
    </w:rPr>
  </w:style>
  <w:style w:type="paragraph" w:styleId="SourceCode" w:customStyle="1">
    <w:name w:val="Source Code"/>
    <w:link w:val="VerbatimChar"/>
    <w:basedOn w:val="Normal"/>
    <w:pPr/>
    <w:rPr/>
  </w:style>
  <w:style w:type="paragraph" w:styleId="Quotations">
    <w:name w:val="Quotations"/>
    <w:basedOn w:val="Normal"/>
    <w:pPr/>
    <w:rPr/>
  </w:style>
  <w:style w:type="numbering" w:styleId="List1">
    <w:name w:val="List 1"/>
  </w:style>
  <w:style w:type="numbering" w:styleId="Numbering1">
    <w:name w:val="Numbering 1"/>
  </w:style>
  <w:style w:type="table" w:default="1" w:styleId="TableNormal">
    <w:name w:val="Normal Table"/>
    <w:qFormat/>
    <w:semiHidden/>
    <w:unhideWhenUsed/>
    <w:tblPr>
      <w:tblInd w:type="dxa" w:w="0"/>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5" Target="media/rId65.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hyperlink" Id="rId24" Target="https://github.com/hadim/thesis" TargetMode="External" /></Relationships>
</file>

<file path=word/_rels/footnotes.xml.rels><?xml version="1.0" encoding="UTF-8"?>
<Relationships xmlns="http://schemas.openxmlformats.org/package/2006/relationships"><Relationship Type="http://schemas.openxmlformats.org/officeDocument/2006/relationships/hyperlink" Id="rId24" Target="https://github.com/hadim/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Microsoft Word 12.0.0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